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"Развитие здравоохранения"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ПРЕДОСТАВЛЕНИЯ И РАСПРЕДЕЛЕНИЯ СУБСИДИЙ</w:t>
      </w:r>
    </w:p>
    <w:p>
      <w:pPr>
        <w:pStyle w:val="2"/>
        <w:jc w:val="center"/>
      </w:pPr>
      <w:r>
        <w:rPr>
          <w:sz w:val="24"/>
        </w:rPr>
        <w:t xml:space="preserve">ИЗ ФЕДЕРАЛЬНОГО БЮДЖЕТА БЮДЖЕТАМ СУБЪЕКТОВ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НА ЕДИНОВРЕМЕННЫЕ КОМПЕНСАЦИОННЫЕ</w:t>
      </w:r>
    </w:p>
    <w:p>
      <w:pPr>
        <w:pStyle w:val="2"/>
        <w:jc w:val="center"/>
      </w:pPr>
      <w:r>
        <w:rPr>
          <w:sz w:val="24"/>
        </w:rPr>
        <w:t xml:space="preserve">ВЫПЛАТЫ МЕДИЦИНСКИМ РАБОТНИКАМ (ВРАЧАМ, ФЕЛЬДШЕРАМ,</w:t>
      </w:r>
    </w:p>
    <w:p>
      <w:pPr>
        <w:pStyle w:val="2"/>
        <w:jc w:val="center"/>
      </w:pPr>
      <w:r>
        <w:rPr>
          <w:sz w:val="24"/>
        </w:rPr>
        <w:t xml:space="preserve">А ТАКЖЕ АКУШЕРКАМ И МЕДИЦИНСКИМ СЕСТРАМ ФЕЛЬДШЕРСКИХ</w:t>
      </w:r>
    </w:p>
    <w:p>
      <w:pPr>
        <w:pStyle w:val="2"/>
        <w:jc w:val="center"/>
      </w:pPr>
      <w:r>
        <w:rPr>
          <w:sz w:val="24"/>
        </w:rPr>
        <w:t xml:space="preserve">ЗДРАВПУНКТОВ И ФЕЛЬДШЕРСКО-АКУШЕРСКИХ ПУНКТОВ, ВРАЧЕБНЫХ</w:t>
      </w:r>
    </w:p>
    <w:p>
      <w:pPr>
        <w:pStyle w:val="2"/>
        <w:jc w:val="center"/>
      </w:pPr>
      <w:r>
        <w:rPr>
          <w:sz w:val="24"/>
        </w:rPr>
        <w:t xml:space="preserve">АМБУЛАТОРИЙ, ЦЕНТРОВ (ОТДЕЛЕНИЙ) ОБЩЕЙ ВРАЧЕБНОЙ ПРАКТИКИ</w:t>
      </w:r>
    </w:p>
    <w:p>
      <w:pPr>
        <w:pStyle w:val="2"/>
        <w:jc w:val="center"/>
      </w:pPr>
      <w:r>
        <w:rPr>
          <w:sz w:val="24"/>
        </w:rPr>
        <w:t xml:space="preserve">(СЕМЕЙНОЙ МЕДИЦИНЫ), ПРИБЫВШИМ (ПЕРЕЕХАВШИМ) НА РАБОТУ</w:t>
      </w:r>
    </w:p>
    <w:p>
      <w:pPr>
        <w:pStyle w:val="2"/>
        <w:jc w:val="center"/>
      </w:pPr>
      <w:r>
        <w:rPr>
          <w:sz w:val="24"/>
        </w:rPr>
        <w:t xml:space="preserve">В СЕЛЬСКИЕ НАСЕЛЕННЫЕ ПУНКТЫ, ЛИБО РАБОЧИЕ ПОСЕЛКИ,</w:t>
      </w:r>
    </w:p>
    <w:p>
      <w:pPr>
        <w:pStyle w:val="2"/>
        <w:jc w:val="center"/>
      </w:pPr>
      <w:r>
        <w:rPr>
          <w:sz w:val="24"/>
        </w:rPr>
        <w:t xml:space="preserve">ЛИБО ПОСЕЛКИ ГОРОДСКОГО ТИПА, ЛИБО ГОРОДА</w:t>
      </w:r>
    </w:p>
    <w:p>
      <w:pPr>
        <w:pStyle w:val="2"/>
        <w:jc w:val="center"/>
      </w:pPr>
      <w:r>
        <w:rPr>
          <w:sz w:val="24"/>
        </w:rPr>
        <w:t xml:space="preserve">С НАСЕЛЕНИЕМ ДО 50 ТЫС. ЧЕЛОВЕК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" w:tooltip="Постановление Правительства РФ от 13.07.2024 N 954 &quot;О внесении изменений в постановление Правительства Российской Федерации от 26 декабря 2017 г. N 1640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13.07.2024 N 954)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0" w:name="P20"/>
    <w:bookmarkEnd w:id="20"/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(далее соответственно - медицинские работники, единовременные компенсационные выплаты, субсидии).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Субсидии предоставляются в пределах лимитов бюджетных обязательств, доведенных до Министерства здравоохранения Российской Федерации как получателя средств федерального бюджета на предоставление субсидий на цели, указанные в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Критериями отбора субъекта Российской Федерации для предоставления субсидии являются:</w:t>
      </w:r>
    </w:p>
    <w:bookmarkStart w:id="23" w:name="P23"/>
    <w:bookmarkEnd w:id="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утвержденного исполнительным органом субъекта Российской Федерации в сфере охраны здоровья (далее - уполномоченный орган) перечня вакантных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</w:t>
      </w:r>
      <w:hyperlink w:history="0" r:id="rId3" w:tooltip="Приказ Минздрава России от 05.02.2024 N 35н &quot;Об утверждении примерного перечня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ого реестра должностей)&quot; (Зарегистрировано в Минюсте России 11.03.2024 N 77463) {КонсультантПлюс}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на очередной финансовый год (программного реестра должностей), утвержденного Министерством здравоохранения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Утвержденный уполномоченным органом программный реестр должностей на очередной финансовый год представляется в Министерство здравоохранения Российской Федерации до 1 апреля текущего финансового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заявки высшего исполнительного органа субъекта Российской Федерации на участие в мероприятиях, содержащей сведения о планируемой численности участников мероприятий (врачей,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Субсидия предоставляется на основании соглашения о предоставлении субсидии из федерального бюджета бюджету субъекта Российской Федерации, заключенного между Министерством здравоохранения Российской Федерации и высшим исполнительным органом субъекта Российской Федерации, подготовленного (сформированного)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w:history="0" r:id="rId4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формой</w:t>
        </w:r>
      </w:hyperlink>
      <w:r>
        <w:rPr>
          <w:sz w:val="24"/>
        </w:rPr>
        <w:t xml:space="preserve">, утвержденной Министерством финансов Российской Федерации (далее - соглашение).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Условиями предоставления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наличие утвержденного нормативным правовым актом субъекта Российской Федерации порядка предоставления единовременных компенсационных выплат медицинским работникам,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организаций, укомплектованность штата которой составляет менее 60 процентов),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медицинской организацией, подведомственной уполномоченному органу или органу местного самоуправления, на условиях полного рабочего дня с продолжительностью рабочего времени, установленной в соответствии со </w:t>
      </w:r>
      <w:hyperlink w:history="0" r:id="rId5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350</w:t>
        </w:r>
      </w:hyperlink>
      <w:r>
        <w:rPr>
          <w:sz w:val="24"/>
        </w:rPr>
        <w:t xml:space="preserve"> Трудового кодекса Российской Федерации, с выполнением трудовой функции на должности, включенной в программный реестр должностей, предусмотренный </w:t>
      </w:r>
      <w:hyperlink w:history="0" w:anchor="P23" w:tooltip="а) наличие утвержденного исполнительным органом субъекта Российской Федерации в сфере охраны здоровья (далее - уполномоченный орган) перечня вакантных должностей медицинских работников в медицинских организациях и их структурных подразделениях, при замещении которых предоставляются единовременные компенсационные выплаты на очередной финансовый год (программного реестра должностей), разработанного на основании примерного перечня должностей медицинских работников в медицинских организациях и их структурных...">
        <w:r>
          <w:rPr>
            <w:sz w:val="24"/>
            <w:color w:val="0000ff"/>
          </w:rPr>
          <w:t xml:space="preserve">подпунктом "а" пункта 3</w:t>
        </w:r>
      </w:hyperlink>
      <w:r>
        <w:rPr>
          <w:sz w:val="24"/>
        </w:rPr>
        <w:t xml:space="preserve"> настоящих Правил, в следующих размерах:</w:t>
      </w:r>
    </w:p>
    <w:bookmarkStart w:id="29" w:name="P29"/>
    <w:bookmarkEnd w:id="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млн. рублей для врачей и 1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млн. рублей для врачей и 1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территориях Донецкой Народной Республики, Луганской Народной Республики, Запорожской области и Херсонской области;</w:t>
      </w:r>
    </w:p>
    <w:bookmarkStart w:id="31" w:name="P31"/>
    <w:bookmarkEnd w:id="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1,5 млн. рублей для врачей и 0,75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органом субъекта Российской Федерации;</w:t>
      </w:r>
    </w:p>
    <w:bookmarkStart w:id="32" w:name="P32"/>
    <w:bookmarkEnd w:id="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млн. рублей для врачей и 0,5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указанных в </w:t>
      </w:r>
      <w:hyperlink w:history="0" w:anchor="P29" w:tooltip="2 млн. рублей для врачей и 1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- </w:t>
      </w:r>
      <w:hyperlink w:history="0" w:anchor="P31" w:tooltip="1,5 млн. рублей для врачей и 0,7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. Перечень удаленных и труднодоступных территорий утверждается высшим исполнительным орг...">
        <w:r>
          <w:rPr>
            <w:sz w:val="24"/>
            <w:color w:val="0000ff"/>
          </w:rPr>
          <w:t xml:space="preserve">четвертом</w:t>
        </w:r>
      </w:hyperlink>
      <w:r>
        <w:rPr>
          <w:sz w:val="24"/>
        </w:rPr>
        <w:t xml:space="preserve"> настоящего подпункта);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заключение соглашения в соответствии с </w:t>
      </w:r>
      <w:hyperlink w:history="0" r:id="rId6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Единовременная компенсационная выплата предоставляется уполномоченным органом медицинскому работнику однократно по одному из оснований, указанных в </w:t>
      </w:r>
      <w:hyperlink w:history="0" w:anchor="P29" w:tooltip="2 млн. рублей для врачей и 1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...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- </w:t>
      </w:r>
      <w:hyperlink w:history="0" w:anchor="P32" w:tooltip="1 млн. рублей для врачей и 0,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указанных в абзацах втором - четвертом настоящего подпункта);">
        <w:r>
          <w:rPr>
            <w:sz w:val="24"/>
            <w:color w:val="0000ff"/>
          </w:rPr>
          <w:t xml:space="preserve">пятом подпункта "а" пункта 5</w:t>
        </w:r>
      </w:hyperlink>
      <w:r>
        <w:rPr>
          <w:sz w:val="24"/>
        </w:rPr>
        <w:t xml:space="preserve"> настоящих Правил. Уполномоченный орган вправе принимать решение о предоставлении медицинскому работнику единовременной компенсационной выплаты: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наличии у медицинского работника неисполненных обязательств по договору о целевом обучении, при условии заключения им трудового договора с медицинской организацией, укомплектованность штата которой составляет менее 60 процентов. В случае, установленном настоящим подпунктом, уполномоченный орган или орган местного самоуправления, в ведении которых находится такая медицинская организация,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условии продолжения медицинским работником, выполнившим обязательства по договору о целевом обучении, работы в той же медицинской организации, расположенной в сельском населенном пункте, либо рабочем поселке, либо поселке городского типа, либо городе с населением до 50 тыс.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трудоустройстве медицинского работника по его желанию на работу в медицинскую организацию, расположенную в месте его проживания (в сельском населенном пункте, либо рабочем поселке, либо поселке городского типа, либо городе с населением до 50 тыс. человек),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основании договора о целевом обучении).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Медицинский работник, заключивший с уполномоченным органом и медицинской организацией договор о предоставлении единовременной компенсационной выплаты, принимает обязательства: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исполнять трудовые обязанности в течение 5 лет со дня заключения договора о предоставлении единовременной компенсационной выплаты на должности в соответствии с трудовым договором при условии продления договора о предоставлении единовременной компенсационной выплаты на период неисполнения трудовой функции в полном объеме (кроме времени отдыха, предусмотренного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статьями 106</w:t>
        </w:r>
      </w:hyperlink>
      <w:r>
        <w:rPr>
          <w:sz w:val="24"/>
        </w:rPr>
        <w:t xml:space="preserve"> и </w:t>
      </w:r>
      <w:hyperlink w:history="0" r:id="rId8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107</w:t>
        </w:r>
      </w:hyperlink>
      <w:r>
        <w:rPr>
          <w:sz w:val="24"/>
        </w:rPr>
        <w:t xml:space="preserve"> Трудового кодекса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w:history="0" r:id="rId9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пунктом 8 части первой статьи 77</w:t>
        </w:r>
      </w:hyperlink>
      <w:r>
        <w:rPr>
          <w:sz w:val="24"/>
        </w:rPr>
        <w:t xml:space="preserve"> и </w:t>
      </w:r>
      <w:hyperlink w:history="0" r:id="rId10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пунктами 5</w:t>
        </w:r>
      </w:hyperlink>
      <w:r>
        <w:rPr>
          <w:sz w:val="24"/>
        </w:rPr>
        <w:t xml:space="preserve"> - </w:t>
      </w:r>
      <w:hyperlink w:history="0" r:id="rId11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7 части первой статьи 83</w:t>
        </w:r>
      </w:hyperlink>
      <w:r>
        <w:rPr>
          <w:sz w:val="24"/>
        </w:rPr>
        <w:t xml:space="preserve"> Трудового кодекса Российской Федерации) либо перевода на другую должность (за исключением случаев, предусмотренных </w:t>
      </w:r>
      <w:hyperlink w:history="0" w:anchor="P43" w:tooltip="8.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:">
        <w:r>
          <w:rPr>
            <w:sz w:val="24"/>
            <w:color w:val="0000ff"/>
          </w:rPr>
          <w:t xml:space="preserve">пунктом 8</w:t>
        </w:r>
      </w:hyperlink>
      <w:r>
        <w:rPr>
          <w:sz w:val="24"/>
        </w:rPr>
        <w:t xml:space="preserve"> настоящих Правил) или поступления на обучение по дополнительным профессиональным программам до истечения 5-летнего срока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или изменения трудового договора до истечения 5-летнего срока;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возвратить в доход бюджета субъекта Российской Федерации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w:history="0" r:id="rId12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пунктом 1 части первой статьи 83</w:t>
        </w:r>
      </w:hyperlink>
      <w:r>
        <w:rPr>
          <w:sz w:val="24"/>
        </w:rPr>
        <w:t xml:space="preserve"> Трудового кодекса Российской Федерации) или продлить срок действия договора о предоставлении единовременной компенсационной выплаты на период неисполнения функциональных обязанностей (по выбору медицинского работника).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при соблюдении следующих условий:</w:t>
      </w:r>
    </w:p>
    <w:bookmarkStart w:id="44" w:name="P44"/>
    <w:bookmarkEnd w:id="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одного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размер единовременной компенсационной выплаты, установленный в соответствии с </w:t>
      </w:r>
      <w:hyperlink w:history="0" w:anchor="P29" w:tooltip="2 млн. рублей для врачей и 1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...">
        <w:r>
          <w:rPr>
            <w:sz w:val="24"/>
            <w:color w:val="0000ff"/>
          </w:rPr>
          <w:t xml:space="preserve">абзацами вторым</w:t>
        </w:r>
      </w:hyperlink>
      <w:r>
        <w:rPr>
          <w:sz w:val="24"/>
        </w:rPr>
        <w:t xml:space="preserve"> - </w:t>
      </w:r>
      <w:hyperlink w:history="0" w:anchor="P32" w:tooltip="1 млн. рублей для врачей и 0,5 млн. рублей для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указанных в абзацах втором - четвертом настоящего подпункта);">
        <w:r>
          <w:rPr>
            <w:sz w:val="24"/>
            <w:color w:val="0000ff"/>
          </w:rPr>
          <w:t xml:space="preserve">пятым подпункта "а" пункта 5</w:t>
        </w:r>
      </w:hyperlink>
      <w:r>
        <w:rPr>
          <w:sz w:val="24"/>
        </w:rPr>
        <w:t xml:space="preserve"> настоящих Правил в отношении категории населенного пункта, к которому относится указанное в </w:t>
      </w:r>
      <w:hyperlink w:history="0" w:anchor="P44" w:tooltip="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одного субъекта Российской Федерации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 место работы, должен быть равен размеру единовременной компенсационной выплаты, ранее полученной медицинским работником по предыдущему месту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должность медицинского работника по указанному в </w:t>
      </w:r>
      <w:hyperlink w:history="0" w:anchor="P44" w:tooltip="а) изменение места работы осуществляется на аналогичную должность в другой медицинской организации (ее структурном подразделении), расположенной в сельском населенном пункте, либо рабочем поселке, либо поселке городского типа, либо городе с населением до 50 тыс. человек, в пределах одного субъекта Российской Федерации;">
        <w:r>
          <w:rPr>
            <w:sz w:val="24"/>
            <w:color w:val="0000ff"/>
          </w:rPr>
          <w:t xml:space="preserve">подпункте "а"</w:t>
        </w:r>
      </w:hyperlink>
      <w:r>
        <w:rPr>
          <w:sz w:val="24"/>
        </w:rPr>
        <w:t xml:space="preserve"> настоящего пункта месту работы должна быть включена в утвержденный уполномоченным органом программный реестр должностей;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заключение медицинским работником с уполномоченным органом и медицинской организацией дополнительного соглашения к договору о предоставлении единовременной компенсационной выплаты, предусматривающего продолжение исполнения медицинским работником принятых на себя обязательств по новому месту работы. При необходимости заключается дополнительное соглашение к договору о целевом обучении между заказчиком целевого обучения, медицинским работником и иными сторонами договора о целевом обучении (при наличии иных сторон), предусматривающее изменение места осуществления медицинским работником трудовой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Общий размер субсидии (S</w:t>
      </w:r>
      <w:r>
        <w:rPr>
          <w:sz w:val="24"/>
          <w:vertAlign w:val="subscript"/>
        </w:rPr>
        <w:t xml:space="preserve">общ</w:t>
      </w:r>
      <w:r>
        <w:rPr>
          <w:sz w:val="24"/>
        </w:rPr>
        <w:t xml:space="preserve">)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общ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1i</w:t>
      </w:r>
      <w:r>
        <w:rPr>
          <w:sz w:val="24"/>
        </w:rPr>
        <w:t xml:space="preserve"> + S</w:t>
      </w:r>
      <w:r>
        <w:rPr>
          <w:sz w:val="24"/>
          <w:vertAlign w:val="subscript"/>
        </w:rPr>
        <w:t xml:space="preserve">2i</w:t>
      </w:r>
      <w:r>
        <w:rPr>
          <w:sz w:val="24"/>
        </w:rPr>
        <w:t xml:space="preserve"> + S</w:t>
      </w:r>
      <w:r>
        <w:rPr>
          <w:sz w:val="24"/>
          <w:vertAlign w:val="subscript"/>
        </w:rPr>
        <w:t xml:space="preserve">3i</w:t>
      </w:r>
      <w:r>
        <w:rPr>
          <w:sz w:val="24"/>
        </w:rPr>
        <w:t xml:space="preserve"> + S</w:t>
      </w:r>
      <w:r>
        <w:rPr>
          <w:sz w:val="24"/>
          <w:vertAlign w:val="subscript"/>
        </w:rPr>
        <w:t xml:space="preserve">4i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1i</w:t>
      </w:r>
      <w:r>
        <w:rPr>
          <w:sz w:val="24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Федерации, тыс.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2i</w:t>
      </w:r>
      <w:r>
        <w:rPr>
          <w:sz w:val="24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расположенные в Донецкой Народной Республике, Луганской Народной Республике, Запорожской области и Херсонской области, тыс.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3i</w:t>
      </w:r>
      <w:r>
        <w:rPr>
          <w:sz w:val="24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территориях, тыс.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4i</w:t>
      </w:r>
      <w:r>
        <w:rPr>
          <w:sz w:val="24"/>
        </w:rPr>
        <w:t xml:space="preserve"> -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медицинских работников, указанных в </w:t>
      </w:r>
      <w:hyperlink w:history="0" w:anchor="P57" w:tooltip="10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пунктом 1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...">
        <w:r>
          <w:rPr>
            <w:sz w:val="24"/>
            <w:color w:val="0000ff"/>
          </w:rPr>
          <w:t xml:space="preserve">пунктах 10</w:t>
        </w:r>
      </w:hyperlink>
      <w:r>
        <w:rPr>
          <w:sz w:val="24"/>
        </w:rPr>
        <w:t xml:space="preserve"> - </w:t>
      </w:r>
      <w:hyperlink w:history="0" w:anchor="P76" w:tooltip="12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пунктом 1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 (S3i), определяется по формуле: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настоящих Правил), тыс. рублей.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Федерации (S</w:t>
      </w:r>
      <w:r>
        <w:rPr>
          <w:sz w:val="24"/>
          <w:vertAlign w:val="subscript"/>
        </w:rPr>
        <w:t xml:space="preserve">1i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8003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1планi</w:t>
      </w:r>
      <w:r>
        <w:rPr>
          <w:sz w:val="24"/>
        </w:rP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2 - размер единовременной компенсационной выплаты, предоставляемой врачу, равный 2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1планi</w:t>
      </w:r>
      <w:r>
        <w:rPr>
          <w:sz w:val="24"/>
        </w:rPr>
        <w:t xml:space="preserve"> - количество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1 - размер единовременной компенсационной выплаты, предоставляемой фельдшеру, а также акушерке и медицинской сестре фельдшерского здравпункта и фельдшерско-акушерского пункта, врачебной амбулатории, центра (отделения) общей врачебной практики (семейной медицины), равный 1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w:history="0" r:id="rId14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Правил формирования, предоставления и распределения субсидий,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расположенные в Донецкой Народной Республике, Луганской Народной Республике, Запорожской области и Херсонской области (S</w:t>
      </w:r>
      <w:r>
        <w:rPr>
          <w:sz w:val="24"/>
          <w:vertAlign w:val="subscript"/>
        </w:rPr>
        <w:t xml:space="preserve">2i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83464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2планi</w:t>
      </w:r>
      <w:r>
        <w:rPr>
          <w:sz w:val="24"/>
        </w:rP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2 - размер единовременной компенсационной выплаты, предоставляемой врачу, равный 2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2планi</w:t>
      </w:r>
      <w:r>
        <w:rPr>
          <w:sz w:val="24"/>
        </w:rPr>
        <w:t xml:space="preserve"> - количество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1 - размер единовременной компенсационной выплаты, предоставляемой фельдшеру, а также акушерке и медицинской сестре фельдшерского здравпункта и фельдшерско-акушерского пункта, врачебной амбулатории, центра (отделения) общей врачебной практики (семейной медицины), равный 1 млн. рублей.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 (S</w:t>
      </w:r>
      <w:r>
        <w:rPr>
          <w:sz w:val="24"/>
          <w:vertAlign w:val="subscript"/>
        </w:rPr>
        <w:t xml:space="preserve">3i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321183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3планi</w:t>
      </w:r>
      <w:r>
        <w:rPr>
          <w:sz w:val="24"/>
        </w:rP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1,5 - размер единовременной компенсационной выплаты, предоставляемой врачу, равный 1,5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3планi</w:t>
      </w:r>
      <w:r>
        <w:rPr>
          <w:sz w:val="24"/>
        </w:rPr>
        <w:t xml:space="preserve"> - количество фельдшеров, а также акушерок,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0,75 - размер единовременной компенсационной выплаты, предоставляемой фельдшеру, а также акушерке, медицинской сестре фельдшерского здравпункта и фельдшерско-акушерского пункта, врачебной амбулатории, центра (отделения) общей врачебной практики (семейной медицины), равный 0,75 млн.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 (за исключением медицинских работников, указанных в </w:t>
      </w:r>
      <w:hyperlink w:history="0" w:anchor="P57" w:tooltip="10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пунктом 1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территории Дальневосточного федерального округа, в районах Крайнего Севера и приравненных к ним местностях, Арктической зоне Российской Федерац...">
        <w:r>
          <w:rPr>
            <w:sz w:val="24"/>
            <w:color w:val="0000ff"/>
          </w:rPr>
          <w:t xml:space="preserve">пунктах 10</w:t>
        </w:r>
      </w:hyperlink>
      <w:r>
        <w:rPr>
          <w:sz w:val="24"/>
        </w:rPr>
        <w:t xml:space="preserve"> - </w:t>
      </w:r>
      <w:hyperlink w:history="0" w:anchor="P76" w:tooltip="12. Размер субсидии бюджету i-го субъекта Российской Федерации, принимающего участие в соответствующем финансовом году в реализации мероприятий, предусмотренных пунктом 1 настоящих Правил, в части, касающейся медицинских работник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 (S3i), определяется по формуле: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настоящих Правил) (S</w:t>
      </w:r>
      <w:r>
        <w:rPr>
          <w:sz w:val="24"/>
          <w:vertAlign w:val="subscript"/>
        </w:rPr>
        <w:t xml:space="preserve">4i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297180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4планi</w:t>
      </w:r>
      <w:r>
        <w:rPr>
          <w:sz w:val="24"/>
        </w:rP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1 - размер единовременной компенсационной выплаты, предоставляемой врачу, равный 1 млн.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4планi</w:t>
      </w:r>
      <w:r>
        <w:rPr>
          <w:sz w:val="24"/>
        </w:rPr>
        <w:t xml:space="preserve"> - количество фельдшеров, а также акушерок и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0,5 - размер единовременной компенсационной выплаты, предоставляемой фельдшеру, а также акушерке и медицинской сестре фельдшерского здравпункта и фельдшерско-акушерского пункта, врачебной амбулатории, центра (отделения) общей врачебной практики (семейной медицины), равный 0,5 млн.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Объем бюджетных ассигнований на финансовое обеспечение расходных обязательств субъекта Российской Федерации, в целях софинансирования которых предоставляется субсидия, утверждается законом субъекта Российской Федерации о бюджете субъекта Российской Федерации (определяется сводной бюджетной росписью бюджета субъекта Российской Федерации) исходя из необходимости достижения установленного в соглашении значения результата использования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Федерации, связанных с реализацией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с учетом предельного уровня софинансирования расходного обязательства субъекта Российской Федерации из федерального бюджета, определенного в соответствии с </w:t>
      </w:r>
      <w:hyperlink w:history="0" r:id="rId18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пунктом 13</w:t>
        </w:r>
      </w:hyperlink>
      <w:r>
        <w:rPr>
          <w:sz w:val="24"/>
        </w:rPr>
        <w:t xml:space="preserve"> Правил формирования, предоставления и распределения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Субсидии перечисляются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Результатом использования субсидии является 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единовременные компенсационные выплаты (I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) (процентов), определяемая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31"/>
        </w:rPr>
        <w:drawing>
          <wp:inline distT="0" distB="0" distL="0" distR="0">
            <wp:extent cx="1863090" cy="548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фактi</w:t>
      </w:r>
      <w:r>
        <w:rPr>
          <w:sz w:val="24"/>
        </w:rPr>
        <w:t xml:space="preserve"> - количество врачей, которым фактически предоставлены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фактi</w:t>
      </w:r>
      <w:r>
        <w:rPr>
          <w:sz w:val="24"/>
        </w:rPr>
        <w:t xml:space="preserve"> - количество фельдшеров, а также акушерок,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фактически предоставлены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планi</w:t>
      </w:r>
      <w:r>
        <w:rPr>
          <w:sz w:val="24"/>
        </w:rPr>
        <w:t xml:space="preserve"> - количество врачей,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F</w:t>
      </w:r>
      <w:r>
        <w:rPr>
          <w:sz w:val="24"/>
          <w:vertAlign w:val="subscript"/>
        </w:rPr>
        <w:t xml:space="preserve">планi</w:t>
      </w:r>
      <w:r>
        <w:rPr>
          <w:sz w:val="24"/>
        </w:rPr>
        <w:t xml:space="preserve"> - количество фельдшеров, а также акушерок, медицинских сестер фельдшерских здравпунктов и фельдшерско-акушерских пунктов, врачебных амбулаторий, центров (отделений) общей врачебной практики (семейной медицины), которым планируется предоставить единовременные компенсационные выплаты, в i-м субъекте Российской Федерации в соответствующем финансовом году,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субсидии, установленного в соглашении, и фактически достигнутого по итогам отчетного года значения результата использования субсидии, предусмотренного </w:t>
      </w:r>
      <w:hyperlink w:history="0" w:anchor="P97" w:tooltip="16. Результатом использования субсидии является 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оставить единовременные компенсационные выплаты (Ii) (процентов), определяемая по формуле:">
        <w:r>
          <w:rPr>
            <w:sz w:val="24"/>
            <w:color w:val="0000ff"/>
          </w:rPr>
          <w:t xml:space="preserve">пунктом 16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Основания и порядок применения мер финансовой ответственности к субъекту Российской Федерации при невыполнении им условий соглашения, в том числе обязательства субъекта Российской Федерации по достижению результата использования субсидии, установлены </w:t>
      </w:r>
      <w:hyperlink w:history="0" r:id="rId20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пунктами 16</w:t>
        </w:r>
      </w:hyperlink>
      <w:r>
        <w:rPr>
          <w:sz w:val="24"/>
        </w:rPr>
        <w:t xml:space="preserve"> - </w:t>
      </w:r>
      <w:hyperlink w:history="0" r:id="rId21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и </w:t>
      </w:r>
      <w:hyperlink w:history="0" r:id="rId22" w:tooltip="Постановление Правительства РФ от 30.09.2014 N 999 (ред. от 07.02.2025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субсидий из федерального бюджета бюджетам субъектов Российской Федерации&quot;) {КонсультантПлюс}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Правил формирования, предоставления и распределения субсидий.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Контроль за реализацией субъектами Российской Федерации мероприятий, предусмотренных </w:t>
      </w:r>
      <w:hyperlink w:history="0" w:anchor="P20" w:tooltip="1. Настоящие Правила устанавливают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настоящих Правил, осуществляется Федеральной службой по надзору в сфере здравоохранения.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нарушения субъектом Российской Федерации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hyperlink w:history="0" r:id="rId23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sz w:val="24"/>
            <w:color w:val="0000ff"/>
            <w:i w:val="on"/>
          </w:rPr>
          <w:br/>
          <w:t xml:space="preserve">Постановление Правительства РФ от 26.12.2017 N 1640 (ред. от 27.12.2024) "Об утверждении государственной программы Российской Федерации "Развитие здравоохранения" {КонсультантПлюс}</w:t>
        </w:r>
      </w:hyperlink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LAW&amp;n=481065&amp;date=21.07.2025&amp;dst=100010&amp;field=134" TargetMode = "External"/>
	<Relationship Id="rId3" Type="http://schemas.openxmlformats.org/officeDocument/2006/relationships/hyperlink" Target="https://login.consultant.ru/link/?req=doc&amp;base=LAW&amp;n=471856&amp;date=21.07.2025&amp;dst=100010&amp;field=134" TargetMode = "External"/>
	<Relationship Id="rId4" Type="http://schemas.openxmlformats.org/officeDocument/2006/relationships/hyperlink" Target="https://login.consultant.ru/link/?req=doc&amp;base=LAW&amp;n=396428&amp;date=21.07.2025&amp;dst=100004&amp;field=134" TargetMode = "External"/>
	<Relationship Id="rId5" Type="http://schemas.openxmlformats.org/officeDocument/2006/relationships/hyperlink" Target="https://login.consultant.ru/link/?req=doc&amp;base=LAW&amp;n=502632&amp;date=21.07.2025&amp;dst=101936&amp;field=134" TargetMode = "External"/>
	<Relationship Id="rId6" Type="http://schemas.openxmlformats.org/officeDocument/2006/relationships/hyperlink" Target="https://login.consultant.ru/link/?req=doc&amp;base=LAW&amp;n=498284&amp;date=21.07.2025&amp;dst=100044&amp;field=134" TargetMode = "External"/>
	<Relationship Id="rId7" Type="http://schemas.openxmlformats.org/officeDocument/2006/relationships/hyperlink" Target="https://login.consultant.ru/link/?req=doc&amp;base=LAW&amp;n=502632&amp;date=21.07.2025&amp;dst=100752&amp;field=134" TargetMode = "External"/>
	<Relationship Id="rId8" Type="http://schemas.openxmlformats.org/officeDocument/2006/relationships/hyperlink" Target="https://login.consultant.ru/link/?req=doc&amp;base=LAW&amp;n=502632&amp;date=21.07.2025&amp;dst=100754&amp;field=134" TargetMode = "External"/>
	<Relationship Id="rId9" Type="http://schemas.openxmlformats.org/officeDocument/2006/relationships/hyperlink" Target="https://login.consultant.ru/link/?req=doc&amp;base=LAW&amp;n=502632&amp;date=21.07.2025&amp;dst=484&amp;field=134" TargetMode = "External"/>
	<Relationship Id="rId10" Type="http://schemas.openxmlformats.org/officeDocument/2006/relationships/hyperlink" Target="https://login.consultant.ru/link/?req=doc&amp;base=LAW&amp;n=502632&amp;date=21.07.2025&amp;dst=516&amp;field=134" TargetMode = "External"/>
	<Relationship Id="rId11" Type="http://schemas.openxmlformats.org/officeDocument/2006/relationships/hyperlink" Target="https://login.consultant.ru/link/?req=doc&amp;base=LAW&amp;n=502632&amp;date=21.07.2025&amp;dst=3080&amp;field=134" TargetMode = "External"/>
	<Relationship Id="rId12" Type="http://schemas.openxmlformats.org/officeDocument/2006/relationships/hyperlink" Target="https://login.consultant.ru/link/?req=doc&amp;base=LAW&amp;n=502632&amp;date=21.07.2025&amp;dst=3060&amp;field=134" TargetMode = "External"/>
	<Relationship Id="rId13" Type="http://schemas.openxmlformats.org/officeDocument/2006/relationships/image" Target="media/image1.wmf"/>
	<Relationship Id="rId14" Type="http://schemas.openxmlformats.org/officeDocument/2006/relationships/hyperlink" Target="https://login.consultant.ru/link/?req=doc&amp;base=LAW&amp;n=498284&amp;date=21.07.2025&amp;dst=394&amp;field=134" TargetMode = "External"/>
	<Relationship Id="rId15" Type="http://schemas.openxmlformats.org/officeDocument/2006/relationships/image" Target="media/image2.wmf"/>
	<Relationship Id="rId16" Type="http://schemas.openxmlformats.org/officeDocument/2006/relationships/image" Target="media/image3.wmf"/>
	<Relationship Id="rId17" Type="http://schemas.openxmlformats.org/officeDocument/2006/relationships/image" Target="media/image4.wmf"/>
	<Relationship Id="rId18" Type="http://schemas.openxmlformats.org/officeDocument/2006/relationships/hyperlink" Target="https://login.consultant.ru/link/?req=doc&amp;base=LAW&amp;n=498284&amp;date=21.07.2025&amp;dst=394&amp;field=134" TargetMode = "External"/>
	<Relationship Id="rId19" Type="http://schemas.openxmlformats.org/officeDocument/2006/relationships/image" Target="media/image5.wmf"/>
	<Relationship Id="rId20" Type="http://schemas.openxmlformats.org/officeDocument/2006/relationships/hyperlink" Target="https://login.consultant.ru/link/?req=doc&amp;base=LAW&amp;n=498284&amp;date=21.07.2025&amp;dst=435&amp;field=134" TargetMode = "External"/>
	<Relationship Id="rId21" Type="http://schemas.openxmlformats.org/officeDocument/2006/relationships/hyperlink" Target="https://login.consultant.ru/link/?req=doc&amp;base=LAW&amp;n=498284&amp;date=21.07.2025&amp;dst=274&amp;field=134" TargetMode = "External"/>
	<Relationship Id="rId22" Type="http://schemas.openxmlformats.org/officeDocument/2006/relationships/hyperlink" Target="https://login.consultant.ru/link/?req=doc&amp;base=LAW&amp;n=498284&amp;date=21.07.2025&amp;dst=189&amp;field=134" TargetMode = "External"/>
	<Relationship Id="rId23" Type="http://schemas.openxmlformats.org/officeDocument/2006/relationships/hyperlink" Target="https://login.consultant.ru/link/?req=doc&amp;base=LAW&amp;n=493417&amp;date=21.07.2025&amp;dst=34028&amp;field=134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26.12.2017 N 1640
(ред. от 27.12.2024)
"Об утверждении государственной программы Российской Федерации "Развитие здравоохранения"
(с изм. и доп., вступ. в силу с 01.01.2025)</dc:title>
  <dcterms:created xsi:type="dcterms:W3CDTF">2025-07-21T04:37:23Z</dcterms:created>
</cp:coreProperties>
</file>